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widowControl w:val="1"/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02">
      <w:pPr>
        <w:keepLines w:val="1"/>
        <w:widowControl w:val="1"/>
        <w:spacing w:after="200" w:line="48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Ajitkumar, A., Lui, F., &amp; De Jesus, O. (2025, April 6).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Huntington Disease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StatPearls - NCBI Bookshelf.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https://www.ncbi.nlm.nih.gov/books/NBK559166/#:~:text=Go%20to:-,Pathophysiology,especially%20throughout%20the%20cerebral%20cortex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widowControl w:val="1"/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 Hopkins Medicine. (2024).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Huntington’s disease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https://www.hopkinsmedicine.org/health/conditions-and-diseases/huntingtons-disease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widowControl w:val="1"/>
        <w:spacing w:after="240" w:before="240"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Gavgani, P. M., &amp; García-Domínguez, M. (2025). Revolutionizing Huntington’s Disease Treatment: Breakthroughs in AAV-Mediated Gene Therapy.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Cells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(19), 1514.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https://doi.org/10.3390/cells14191514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widowControl w:val="1"/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Huntington’s Disease Association. (2025).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Genetics of Huntington's disease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Huntington’s Disease Association - Home.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https://www.hda.org.uk/professionals-and-training/about-huntingtons-disease/genetics-of-huntingtons-disease/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widowControl w:val="1"/>
        <w:spacing w:after="240" w:before="240"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Leide, M. S. (2025). Imaging for Huntington Disease.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Radiologic Technology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96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433–436.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https://research.ebsco.com/c/amz5ui/viewer/pdf/tdtuwpok75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Lines w:val="1"/>
        <w:widowControl w:val="1"/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Massey, T. H., &amp; McLauchlan, D. J. (2024). Huntington’s disease: A clinical primer for acute and general physicians.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Clinical Medicine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1–4.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https://doi.org/10.1016/j.clinme.2024.100200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Lines w:val="1"/>
        <w:widowControl w:val="1"/>
        <w:spacing w:line="480" w:lineRule="auto"/>
        <w:ind w:left="720" w:hanging="720"/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Mian AM, Hamid H, Masaud F, Shah ZA, Fatima K, Salam A. A Challenging Diagnosis of Huntington’s Disease With Mild Clinical Features: Case Report.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Investigative Medicine High Impact Case Reports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2024;12. doi: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10.1177/23247096241278403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widowControl w:val="1"/>
        <w:spacing w:line="480" w:lineRule="auto"/>
        <w:ind w:left="720"/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Rüb, U., Seidel, K., Heinsen, H., Vonsattel, J. P., den Dunnen, W. F., &amp; Korf, H. W. (2016). Huntington's disease (HD): the neuropathology of a multisystem neurodegenerative disorder of the human brain.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b1b1b"/>
          <w:sz w:val="24"/>
          <w:szCs w:val="24"/>
          <w:highlight w:val="white"/>
          <w:rtl w:val="0"/>
        </w:rPr>
        <w:t xml:space="preserve">Brain pathology (Zurich, Switzerland)</w:t>
      </w: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b1b1b"/>
          <w:sz w:val="24"/>
          <w:szCs w:val="24"/>
          <w:highlight w:val="white"/>
          <w:rtl w:val="0"/>
        </w:rPr>
        <w:t xml:space="preserve">26</w:t>
      </w:r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(6), 726–740.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https://doi.org/10.1111/bpa.12426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480" w:lineRule="auto"/>
        <w:ind w:left="720" w:hanging="720"/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Saadah, M. J., &amp; Moukaddam, N. (2025). Recognizing the Neuropsychiatric Symptoms of Huntington Disease.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Psychiatric Times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(10), 21–23.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https://research.ebsco.com/c/amz5ui/viewer/pdf/gzk7mky2lf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widowControl w:val="1"/>
        <w:spacing w:line="48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Tong, H., Yang, T., Xu, S., Li, X., Liu, L., Zhou, G., Yang, S., Yin, S., Li, X.-J., &amp; Li, S. (2024). Huntington’s Disease: Complex Pathogenesis and Therapeutic Strategies.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International Journal of Molecular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(7), 3845.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https://doi.org/10.3390/ijms25073845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ind w:left="720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1016/j.clinme.2024.100200" TargetMode="External"/><Relationship Id="rId10" Type="http://schemas.openxmlformats.org/officeDocument/2006/relationships/hyperlink" Target="https://research.ebsco.com/c/amz5ui/viewer/pdf/tdtuwpok75" TargetMode="External"/><Relationship Id="rId13" Type="http://schemas.openxmlformats.org/officeDocument/2006/relationships/hyperlink" Target="https://doi.org/10.1111/bpa.12426" TargetMode="External"/><Relationship Id="rId12" Type="http://schemas.openxmlformats.org/officeDocument/2006/relationships/hyperlink" Target="https://doi.org/10.1177/2324709624127840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da.org.uk/professionals-and-training/about-huntingtons-disease/genetics-of-huntingtons-disease/" TargetMode="External"/><Relationship Id="rId15" Type="http://schemas.openxmlformats.org/officeDocument/2006/relationships/hyperlink" Target="https://doi.org/10.3390/ijms25073845" TargetMode="External"/><Relationship Id="rId14" Type="http://schemas.openxmlformats.org/officeDocument/2006/relationships/hyperlink" Target="https://research.ebsco.com/c/amz5ui/viewer/pdf/gzk7mky2lf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ncbi.nlm.nih.gov/books/NBK559166/#:~:text=Go%20to:-,Pathophysiology,especially%20throughout%20the%20cerebral%20cortex" TargetMode="External"/><Relationship Id="rId7" Type="http://schemas.openxmlformats.org/officeDocument/2006/relationships/hyperlink" Target="https://www.hopkinsmedicine.org/health/conditions-and-diseases/huntingtons-disease" TargetMode="External"/><Relationship Id="rId8" Type="http://schemas.openxmlformats.org/officeDocument/2006/relationships/hyperlink" Target="https://doi.org/10.3390/cells1419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