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C3AA" w14:textId="77777777" w:rsidR="00B242B9" w:rsidRPr="00B242B9" w:rsidRDefault="00B242B9" w:rsidP="00B242B9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References</w:t>
      </w:r>
    </w:p>
    <w:p w14:paraId="65D53B9B" w14:textId="77777777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Brites, G. S., Ferreira, I., Sebastião, A. I., Silva, A., Carrascal, M., Neves, B. M., &amp; Cruz, M. T. (2020). Allergic contact dermatitis: From pathophysiology to development of new preventive strategies.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Pharmacological Research, 162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hyperlink r:id="rId4" w:history="1">
        <w:r w:rsidRPr="00B242B9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>https://doi.org/10.1016/j.phrs.2020.105282</w:t>
        </w:r>
      </w:hyperlink>
    </w:p>
    <w:p w14:paraId="405C83E6" w14:textId="77777777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Johnston, G. A., Exton, L. S., Mohd Mustapa, M. F., Slack, J. A., Coulson, I. H., English, J. S. C., McHenry, P. M., Gibbon, K., Buckley, D. A., Leslie, T. A., Mallon, E. C.,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Wakeline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S., Ungureanu, S.,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Hunasehally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R. Y. P., Cork, M.,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Natkunarajah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J., Worsnop, F. S., Chiang, N., Donnelly, J., Saunders, C., Brain, A.G., &amp; Exton, L. S. (2017). British Association of Dermatologists’ guidelines for the management of contact dermatitis 2017.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British Journal of Dermatology, 176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(2), 317-329. </w:t>
      </w:r>
      <w:hyperlink r:id="rId5" w:history="1">
        <w:r w:rsidRPr="00B242B9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>https://doi.org/10.1111/bjd.15239</w:t>
        </w:r>
      </w:hyperlink>
    </w:p>
    <w:p w14:paraId="383CD92F" w14:textId="77777777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Lambert, J. (2021). Itch in Allergic Contact Dermatitis.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Frontiers in Allergy, 2.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6" w:history="1">
        <w:r w:rsidRPr="00B242B9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>https://doi.org/10.3389/falgy.2021.702488</w:t>
        </w:r>
      </w:hyperlink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164B69F" w14:textId="54C75F3D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Mowad, C. M., Anderson, B., Scheinman, P.,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Pootongkam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S.,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Neforost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S., &amp; Brod, B. (2016). Allergic contact dermatitis: patient diagnosis and evaluation.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Journal of the American Academy of Dermatology, 74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(6), 1029-1049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Pr="00B242B9">
        <w:rPr>
          <w:rFonts w:ascii="Times New Roman" w:hAnsi="Times New Roman" w:cs="Times New Roman"/>
        </w:rPr>
        <w:fldChar w:fldCharType="begin"/>
      </w:r>
      <w:r w:rsidRPr="00B242B9">
        <w:rPr>
          <w:rFonts w:ascii="Times New Roman" w:hAnsi="Times New Roman" w:cs="Times New Roman"/>
        </w:rPr>
        <w:instrText>HYPERLINK "https://doi.org/10.1016/j.jaad.2015.02.1139"</w:instrText>
      </w:r>
      <w:r w:rsidRPr="00B242B9">
        <w:rPr>
          <w:rFonts w:ascii="Times New Roman" w:hAnsi="Times New Roman" w:cs="Times New Roman"/>
        </w:rPr>
        <w:fldChar w:fldCharType="separate"/>
      </w:r>
      <w:r w:rsidRPr="00B242B9">
        <w:rPr>
          <w:rStyle w:val="Hyperlink"/>
          <w:rFonts w:ascii="Times New Roman" w:hAnsi="Times New Roman" w:cs="Times New Roman"/>
        </w:rPr>
        <w:t>https://doi.org/10.1016/j.jaad.2015.02.1139</w:t>
      </w:r>
      <w:r w:rsidRPr="00B242B9">
        <w:rPr>
          <w:rFonts w:ascii="Times New Roman" w:hAnsi="Times New Roman" w:cs="Times New Roman"/>
        </w:rPr>
        <w:fldChar w:fldCharType="end"/>
      </w:r>
    </w:p>
    <w:p w14:paraId="5FBE9D5E" w14:textId="77777777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Patel, K., &amp; Nixon, R. (2022). Irritant contact dermatitis: A review.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Current Dermatology Reports, 11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(2), 41–51. </w:t>
      </w:r>
      <w:hyperlink r:id="rId7" w:history="1">
        <w:r w:rsidRPr="00B242B9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>https://doi.org/10.1007/s13671-021-00351-4</w:t>
        </w:r>
      </w:hyperlink>
    </w:p>
    <w:p w14:paraId="2EA8146A" w14:textId="77777777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Purnamawati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S.,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Indrastuti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N.,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Danarti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R., &amp;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Saefudin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T. (2017). The role of moisturizers in addressing various kinds of dermatitis: A review.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Clinical Medicine &amp; Research, 15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(3–4), 75–87.</w:t>
      </w:r>
      <w:hyperlink r:id="rId8" w:history="1">
        <w:r w:rsidRPr="00B242B9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 xml:space="preserve"> https://doi.org/10.3121/cmr.2017.1363</w:t>
        </w:r>
      </w:hyperlink>
    </w:p>
    <w:p w14:paraId="0123E441" w14:textId="57BD86BE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Rubins, A., Romanova, A., Septe, M., Maddukuri, S., Schwartz, R. A., &amp; Rubins, S. (2020). Contact dermatitis: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etiologies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the allergic and irritant type.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Acta </w:t>
      </w:r>
      <w:proofErr w:type="spellStart"/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Dermatovenerol</w:t>
      </w:r>
      <w:proofErr w:type="spellEnd"/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Alp Pannonica </w:t>
      </w:r>
      <w:proofErr w:type="spellStart"/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Adriat</w:t>
      </w:r>
      <w:proofErr w:type="spellEnd"/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, 29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(4), 181-4.</w:t>
      </w:r>
      <w:r w:rsidRPr="00B242B9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hyperlink r:id="rId9" w:history="1">
        <w:r w:rsidRPr="00B242B9">
          <w:rPr>
            <w:rStyle w:val="Hyperlink"/>
            <w:rFonts w:ascii="Times New Roman" w:hAnsi="Times New Roman" w:cs="Times New Roman"/>
            <w:color w:val="000000"/>
          </w:rPr>
          <w:t>https://doi.org/10.15570/ACTAAPA.2020.37</w:t>
        </w:r>
      </w:hyperlink>
    </w:p>
    <w:p w14:paraId="58F83880" w14:textId="45F3D4E5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Rustemeyer, T. (2022). Immunological Mechanisms in Allergic Contact Dermatitis.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Current Treatment Options in Allergy, 9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(2), 67–75. </w:t>
      </w:r>
      <w:hyperlink r:id="rId10" w:history="1">
        <w:r w:rsidRPr="00B242B9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>https://doi.org/10.1007/s40521-022-00299-1</w:t>
        </w:r>
      </w:hyperlink>
    </w:p>
    <w:p w14:paraId="459C6AC1" w14:textId="77777777" w:rsidR="00B242B9" w:rsidRPr="00B242B9" w:rsidRDefault="00B242B9" w:rsidP="00B242B9">
      <w:pPr>
        <w:spacing w:after="0" w:line="480" w:lineRule="auto"/>
        <w:ind w:left="862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Tramontana, M., Hansel, K., Bianchi, L., Sensini, C., Malatesta, N., &amp; </w:t>
      </w:r>
      <w:proofErr w:type="spellStart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Stingeni</w:t>
      </w:r>
      <w:proofErr w:type="spellEnd"/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L. (2023). Advancing the understanding of allergic contact dermatitis: from pathophysiology to novel therapeutic approaches.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Frontiers in Medicine, 10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hyperlink r:id="rId11" w:history="1">
        <w:r w:rsidRPr="00B242B9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>https://doi.org/10.3389/fmed.2023.1184289</w:t>
        </w:r>
      </w:hyperlink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784C82B" w14:textId="1CB854C4" w:rsidR="001773EF" w:rsidRDefault="00B242B9" w:rsidP="00B242B9">
      <w:pPr>
        <w:spacing w:line="480" w:lineRule="auto"/>
        <w:ind w:left="862" w:hanging="720"/>
      </w:pP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Tuckman, A. (2017). The potential psychological impact of skin conditions. </w:t>
      </w:r>
      <w:r w:rsidRPr="00B242B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Dermatology and Therapy, 7</w:t>
      </w:r>
      <w:r w:rsidRPr="00B242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(Suppl 1), 53–57. </w:t>
      </w:r>
      <w:hyperlink r:id="rId12" w:history="1">
        <w:r w:rsidRPr="00B242B9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>https://doi.org/10.1007/s13555-016-0169-7</w:t>
        </w:r>
      </w:hyperlink>
    </w:p>
    <w:sectPr w:rsidR="00177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B9"/>
    <w:rsid w:val="001773EF"/>
    <w:rsid w:val="001F594F"/>
    <w:rsid w:val="002B331F"/>
    <w:rsid w:val="00426A3F"/>
    <w:rsid w:val="005F1205"/>
    <w:rsid w:val="00994FF2"/>
    <w:rsid w:val="00A414DB"/>
    <w:rsid w:val="00B242B9"/>
    <w:rsid w:val="00C22B52"/>
    <w:rsid w:val="00CD0B32"/>
    <w:rsid w:val="00F8636B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3A0B9"/>
  <w15:chartTrackingRefBased/>
  <w15:docId w15:val="{299BB22F-C799-274C-9435-4696161B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2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242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42B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21/cmr.2017.13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3671-021-00351-4" TargetMode="External"/><Relationship Id="rId12" Type="http://schemas.openxmlformats.org/officeDocument/2006/relationships/hyperlink" Target="https://doi.org/10.1007/s13555-016-0169-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algy.2021.702488" TargetMode="External"/><Relationship Id="rId11" Type="http://schemas.openxmlformats.org/officeDocument/2006/relationships/hyperlink" Target="https://doi.org/10.3389/fmed.2023.1184289" TargetMode="External"/><Relationship Id="rId5" Type="http://schemas.openxmlformats.org/officeDocument/2006/relationships/hyperlink" Target="https://doi.org/10.1111/bjd.15239" TargetMode="External"/><Relationship Id="rId10" Type="http://schemas.openxmlformats.org/officeDocument/2006/relationships/hyperlink" Target="https://doi.org/10.1007/s40521-022-00299-1" TargetMode="External"/><Relationship Id="rId4" Type="http://schemas.openxmlformats.org/officeDocument/2006/relationships/hyperlink" Target="https://doi.org/10.1016/j.phrs.2020.105282" TargetMode="External"/><Relationship Id="rId9" Type="http://schemas.openxmlformats.org/officeDocument/2006/relationships/hyperlink" Target="https://doi.org/10.15570/ACTAAPA.2020.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Jasslyine Mangat</dc:creator>
  <cp:keywords/>
  <dc:description/>
  <cp:lastModifiedBy>Jasslyine Mangat</cp:lastModifiedBy>
  <cp:revision>1</cp:revision>
  <dcterms:created xsi:type="dcterms:W3CDTF">2025-11-14T04:00:00Z</dcterms:created>
  <dcterms:modified xsi:type="dcterms:W3CDTF">2025-11-14T04:14:00Z</dcterms:modified>
</cp:coreProperties>
</file>