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CB8" w:rsidRDefault="00600CB8" w:rsidP="00600CB8">
      <w:pPr>
        <w:jc w:val="center"/>
        <w:rPr>
          <w:b/>
          <w:bCs/>
          <w:sz w:val="22"/>
          <w:szCs w:val="22"/>
        </w:rPr>
      </w:pPr>
      <w:r w:rsidRPr="0041416B">
        <w:rPr>
          <w:b/>
          <w:bCs/>
          <w:sz w:val="22"/>
          <w:szCs w:val="22"/>
        </w:rPr>
        <w:t>References</w:t>
      </w:r>
    </w:p>
    <w:p w:rsidR="00600CB8" w:rsidRPr="0041416B" w:rsidRDefault="00600CB8" w:rsidP="00600CB8">
      <w:pPr>
        <w:jc w:val="center"/>
        <w:rPr>
          <w:sz w:val="22"/>
          <w:szCs w:val="22"/>
        </w:rPr>
      </w:pPr>
    </w:p>
    <w:p w:rsidR="00600CB8" w:rsidRDefault="00600CB8" w:rsidP="00600CB8">
      <w:pPr>
        <w:spacing w:line="480" w:lineRule="auto"/>
        <w:ind w:left="720" w:hanging="720"/>
        <w:rPr>
          <w:sz w:val="22"/>
          <w:szCs w:val="22"/>
        </w:rPr>
      </w:pPr>
      <w:proofErr w:type="spellStart"/>
      <w:r w:rsidRPr="0041416B">
        <w:rPr>
          <w:sz w:val="22"/>
          <w:szCs w:val="22"/>
        </w:rPr>
        <w:t>Ateş</w:t>
      </w:r>
      <w:proofErr w:type="spellEnd"/>
      <w:r w:rsidRPr="0041416B">
        <w:rPr>
          <w:sz w:val="22"/>
          <w:szCs w:val="22"/>
        </w:rPr>
        <w:t xml:space="preserve">, H., &amp; </w:t>
      </w:r>
      <w:proofErr w:type="spellStart"/>
      <w:r w:rsidRPr="0041416B">
        <w:rPr>
          <w:sz w:val="22"/>
          <w:szCs w:val="22"/>
        </w:rPr>
        <w:t>Şahiner</w:t>
      </w:r>
      <w:proofErr w:type="spellEnd"/>
      <w:r w:rsidRPr="0041416B">
        <w:rPr>
          <w:sz w:val="22"/>
          <w:szCs w:val="22"/>
        </w:rPr>
        <w:t xml:space="preserve">, E. S. (2022). Frequency of drug allergy and associated factors reported by patients applying to the internal medicine outpatient clinic. </w:t>
      </w:r>
      <w:r w:rsidRPr="0041416B">
        <w:rPr>
          <w:i/>
          <w:iCs/>
          <w:sz w:val="22"/>
          <w:szCs w:val="22"/>
        </w:rPr>
        <w:t xml:space="preserve">Lokman </w:t>
      </w:r>
      <w:proofErr w:type="spellStart"/>
      <w:r w:rsidRPr="0041416B">
        <w:rPr>
          <w:i/>
          <w:iCs/>
          <w:sz w:val="22"/>
          <w:szCs w:val="22"/>
        </w:rPr>
        <w:t>Hekim</w:t>
      </w:r>
      <w:proofErr w:type="spellEnd"/>
      <w:r w:rsidRPr="0041416B">
        <w:rPr>
          <w:i/>
          <w:iCs/>
          <w:sz w:val="22"/>
          <w:szCs w:val="22"/>
        </w:rPr>
        <w:t xml:space="preserve"> Health Sciences, 2</w:t>
      </w:r>
      <w:r w:rsidRPr="0041416B">
        <w:rPr>
          <w:sz w:val="22"/>
          <w:szCs w:val="22"/>
        </w:rPr>
        <w:t xml:space="preserve">(3), 136–141. </w:t>
      </w:r>
      <w:hyperlink r:id="rId6" w:history="1">
        <w:r w:rsidRPr="0041416B">
          <w:rPr>
            <w:rStyle w:val="Hyperlink"/>
            <w:sz w:val="22"/>
            <w:szCs w:val="22"/>
          </w:rPr>
          <w:t>https://doi.org/10.14744/lhhs.2022.70004</w:t>
        </w:r>
      </w:hyperlink>
      <w:r w:rsidRPr="0041416B">
        <w:rPr>
          <w:sz w:val="22"/>
          <w:szCs w:val="22"/>
        </w:rPr>
        <w:t> 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Cardona, V., </w:t>
      </w:r>
      <w:proofErr w:type="spellStart"/>
      <w:r>
        <w:rPr>
          <w:sz w:val="22"/>
          <w:szCs w:val="22"/>
        </w:rPr>
        <w:t>Ansotegui</w:t>
      </w:r>
      <w:proofErr w:type="spellEnd"/>
      <w:r>
        <w:rPr>
          <w:sz w:val="22"/>
          <w:szCs w:val="22"/>
        </w:rPr>
        <w:t xml:space="preserve">, I. J., </w:t>
      </w:r>
      <w:proofErr w:type="spellStart"/>
      <w:r>
        <w:rPr>
          <w:sz w:val="22"/>
          <w:szCs w:val="22"/>
        </w:rPr>
        <w:t>Ebisawa</w:t>
      </w:r>
      <w:proofErr w:type="spellEnd"/>
      <w:r>
        <w:rPr>
          <w:sz w:val="22"/>
          <w:szCs w:val="22"/>
        </w:rPr>
        <w:t xml:space="preserve">, M., El-Gamal, Y., Rivas, M. F., Fineman, S., Geller, M., Gonzalez-Estrada, A., Greenberger, P. A., Borges, M. S., Senna, G., Sheikh, A., </w:t>
      </w:r>
      <w:proofErr w:type="spellStart"/>
      <w:r>
        <w:rPr>
          <w:sz w:val="22"/>
          <w:szCs w:val="22"/>
        </w:rPr>
        <w:t>Tanno</w:t>
      </w:r>
      <w:proofErr w:type="spellEnd"/>
      <w:r>
        <w:rPr>
          <w:sz w:val="22"/>
          <w:szCs w:val="22"/>
        </w:rPr>
        <w:t>, L. K., Thong, B. Y., Turner, P. J., &amp; Worm, M</w:t>
      </w:r>
      <w:r w:rsidRPr="0041416B">
        <w:rPr>
          <w:sz w:val="22"/>
          <w:szCs w:val="22"/>
        </w:rPr>
        <w:t>. (2020). World Allergy Organization anaphylaxis guidance 2020</w:t>
      </w:r>
      <w:r w:rsidRPr="0041416B">
        <w:rPr>
          <w:i/>
          <w:iCs/>
          <w:sz w:val="22"/>
          <w:szCs w:val="22"/>
        </w:rPr>
        <w:t>.</w:t>
      </w:r>
      <w:r w:rsidRPr="0041416B">
        <w:rPr>
          <w:sz w:val="22"/>
          <w:szCs w:val="22"/>
        </w:rPr>
        <w:t xml:space="preserve"> </w:t>
      </w:r>
      <w:r w:rsidRPr="0041416B">
        <w:rPr>
          <w:i/>
          <w:iCs/>
          <w:sz w:val="22"/>
          <w:szCs w:val="22"/>
        </w:rPr>
        <w:t>World Allergy Organization Journal, 13</w:t>
      </w:r>
      <w:r w:rsidRPr="0041416B">
        <w:rPr>
          <w:sz w:val="22"/>
          <w:szCs w:val="22"/>
        </w:rPr>
        <w:t>(10), 100472.</w:t>
      </w:r>
      <w:hyperlink r:id="rId7" w:history="1">
        <w:r w:rsidRPr="0041416B">
          <w:rPr>
            <w:rStyle w:val="Hyperlink"/>
            <w:sz w:val="22"/>
            <w:szCs w:val="22"/>
          </w:rPr>
          <w:t xml:space="preserve"> https://doi.or</w:t>
        </w:r>
        <w:r w:rsidRPr="0041416B">
          <w:rPr>
            <w:rStyle w:val="Hyperlink"/>
            <w:sz w:val="22"/>
            <w:szCs w:val="22"/>
          </w:rPr>
          <w:t>g</w:t>
        </w:r>
        <w:r w:rsidRPr="0041416B">
          <w:rPr>
            <w:rStyle w:val="Hyperlink"/>
            <w:sz w:val="22"/>
            <w:szCs w:val="22"/>
          </w:rPr>
          <w:t>/10.</w:t>
        </w:r>
        <w:r w:rsidRPr="0041416B">
          <w:rPr>
            <w:rStyle w:val="Hyperlink"/>
            <w:sz w:val="22"/>
            <w:szCs w:val="22"/>
          </w:rPr>
          <w:t>1</w:t>
        </w:r>
        <w:r w:rsidRPr="0041416B">
          <w:rPr>
            <w:rStyle w:val="Hyperlink"/>
            <w:sz w:val="22"/>
            <w:szCs w:val="22"/>
          </w:rPr>
          <w:t>016/j.waojou.2020.100472</w:t>
        </w:r>
      </w:hyperlink>
    </w:p>
    <w:p w:rsidR="00600CB8" w:rsidRDefault="00600CB8" w:rsidP="00600CB8">
      <w:pPr>
        <w:spacing w:line="480" w:lineRule="auto"/>
        <w:ind w:left="720" w:hanging="720"/>
        <w:rPr>
          <w:sz w:val="22"/>
          <w:szCs w:val="22"/>
        </w:rPr>
      </w:pPr>
      <w:proofErr w:type="spellStart"/>
      <w:r w:rsidRPr="0041416B">
        <w:rPr>
          <w:sz w:val="22"/>
          <w:szCs w:val="22"/>
        </w:rPr>
        <w:t>Harig</w:t>
      </w:r>
      <w:proofErr w:type="spellEnd"/>
      <w:r w:rsidRPr="0041416B">
        <w:rPr>
          <w:sz w:val="22"/>
          <w:szCs w:val="22"/>
        </w:rPr>
        <w:t xml:space="preserve">, A., </w:t>
      </w:r>
      <w:proofErr w:type="spellStart"/>
      <w:r w:rsidRPr="0041416B">
        <w:rPr>
          <w:sz w:val="22"/>
          <w:szCs w:val="22"/>
        </w:rPr>
        <w:t>Rybarczyk</w:t>
      </w:r>
      <w:proofErr w:type="spellEnd"/>
      <w:r w:rsidRPr="0041416B">
        <w:rPr>
          <w:sz w:val="22"/>
          <w:szCs w:val="22"/>
        </w:rPr>
        <w:t xml:space="preserve">, A., Benedetti, A., &amp; Zimmerman, J. (2018). Clarification of drug allergy information using a standardized drug-allergy questionnaire and interview. </w:t>
      </w:r>
      <w:r w:rsidRPr="0041416B">
        <w:rPr>
          <w:i/>
          <w:iCs/>
          <w:sz w:val="22"/>
          <w:szCs w:val="22"/>
        </w:rPr>
        <w:t>Hospital Pharmacy, 53</w:t>
      </w:r>
      <w:r w:rsidRPr="0041416B">
        <w:rPr>
          <w:sz w:val="22"/>
          <w:szCs w:val="22"/>
        </w:rPr>
        <w:t xml:space="preserve">(9), 610–616. </w:t>
      </w:r>
      <w:hyperlink r:id="rId8" w:history="1">
        <w:r w:rsidRPr="0041416B">
          <w:rPr>
            <w:rStyle w:val="Hyperlink"/>
            <w:sz w:val="22"/>
            <w:szCs w:val="22"/>
          </w:rPr>
          <w:t>https://www.ncbi.nlm.nih.gov/pmc/articles/PMC</w:t>
        </w:r>
        <w:r w:rsidRPr="0041416B">
          <w:rPr>
            <w:rStyle w:val="Hyperlink"/>
            <w:sz w:val="22"/>
            <w:szCs w:val="22"/>
          </w:rPr>
          <w:t>6</w:t>
        </w:r>
        <w:r w:rsidRPr="0041416B">
          <w:rPr>
            <w:rStyle w:val="Hyperlink"/>
            <w:sz w:val="22"/>
            <w:szCs w:val="22"/>
          </w:rPr>
          <w:t>065492/</w:t>
        </w:r>
      </w:hyperlink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Hung, S., </w:t>
      </w:r>
      <w:proofErr w:type="spellStart"/>
      <w:r>
        <w:rPr>
          <w:sz w:val="22"/>
          <w:szCs w:val="22"/>
        </w:rPr>
        <w:t>Mockenhaupt</w:t>
      </w:r>
      <w:proofErr w:type="spellEnd"/>
      <w:r>
        <w:rPr>
          <w:sz w:val="22"/>
          <w:szCs w:val="22"/>
        </w:rPr>
        <w:t xml:space="preserve">, M., Blumenthal, K. G., Abe, R., </w:t>
      </w:r>
      <w:proofErr w:type="spellStart"/>
      <w:r>
        <w:rPr>
          <w:sz w:val="22"/>
          <w:szCs w:val="22"/>
        </w:rPr>
        <w:t>Ueta</w:t>
      </w:r>
      <w:proofErr w:type="spellEnd"/>
      <w:r>
        <w:rPr>
          <w:sz w:val="22"/>
          <w:szCs w:val="22"/>
        </w:rPr>
        <w:t>, M., Ingen-</w:t>
      </w:r>
      <w:proofErr w:type="spellStart"/>
      <w:r>
        <w:rPr>
          <w:sz w:val="22"/>
          <w:szCs w:val="22"/>
        </w:rPr>
        <w:t>Housz</w:t>
      </w:r>
      <w:proofErr w:type="spellEnd"/>
      <w:r>
        <w:rPr>
          <w:sz w:val="22"/>
          <w:szCs w:val="22"/>
        </w:rPr>
        <w:t xml:space="preserve">-Oro, S., Phillips, E. J., &amp; Chung, W. (2024). Severe cutaneous adverse reactions. </w:t>
      </w:r>
      <w:r>
        <w:rPr>
          <w:i/>
          <w:iCs/>
          <w:sz w:val="22"/>
          <w:szCs w:val="22"/>
        </w:rPr>
        <w:t>Nature Reviews Disease Primers. 10</w:t>
      </w:r>
      <w:r>
        <w:rPr>
          <w:sz w:val="22"/>
          <w:szCs w:val="22"/>
        </w:rPr>
        <w:t xml:space="preserve">(30). </w:t>
      </w:r>
      <w:hyperlink r:id="rId9" w:history="1">
        <w:r w:rsidRPr="00DE37FB">
          <w:rPr>
            <w:rStyle w:val="Hyperlink"/>
            <w:sz w:val="22"/>
            <w:szCs w:val="22"/>
          </w:rPr>
          <w:t>https://doi.org/10.1038/s41572-024-00514-0</w:t>
        </w:r>
      </w:hyperlink>
      <w:r>
        <w:rPr>
          <w:sz w:val="22"/>
          <w:szCs w:val="22"/>
        </w:rPr>
        <w:t xml:space="preserve">  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41416B">
        <w:rPr>
          <w:sz w:val="22"/>
          <w:szCs w:val="22"/>
        </w:rPr>
        <w:t>Jeimy, S., Wong, T., Ben-</w:t>
      </w:r>
      <w:proofErr w:type="spellStart"/>
      <w:r w:rsidRPr="0041416B">
        <w:rPr>
          <w:sz w:val="22"/>
          <w:szCs w:val="22"/>
        </w:rPr>
        <w:t>Shoshan</w:t>
      </w:r>
      <w:proofErr w:type="spellEnd"/>
      <w:r w:rsidRPr="0041416B">
        <w:rPr>
          <w:sz w:val="22"/>
          <w:szCs w:val="22"/>
        </w:rPr>
        <w:t xml:space="preserve">, M., </w:t>
      </w:r>
      <w:proofErr w:type="spellStart"/>
      <w:r w:rsidRPr="0041416B">
        <w:rPr>
          <w:sz w:val="22"/>
          <w:szCs w:val="22"/>
        </w:rPr>
        <w:t>Copaescu</w:t>
      </w:r>
      <w:proofErr w:type="spellEnd"/>
      <w:r w:rsidRPr="0041416B">
        <w:rPr>
          <w:sz w:val="22"/>
          <w:szCs w:val="22"/>
        </w:rPr>
        <w:t xml:space="preserve">, A. M., </w:t>
      </w:r>
      <w:proofErr w:type="spellStart"/>
      <w:r w:rsidRPr="0041416B">
        <w:rPr>
          <w:sz w:val="22"/>
          <w:szCs w:val="22"/>
        </w:rPr>
        <w:t>Isabwe</w:t>
      </w:r>
      <w:proofErr w:type="spellEnd"/>
      <w:r w:rsidRPr="0041416B">
        <w:rPr>
          <w:sz w:val="22"/>
          <w:szCs w:val="22"/>
        </w:rPr>
        <w:t xml:space="preserve">, G. A. C., &amp; Ellis, A. K. (2025). Drug allergy. </w:t>
      </w:r>
      <w:r w:rsidRPr="0041416B">
        <w:rPr>
          <w:i/>
          <w:iCs/>
          <w:sz w:val="22"/>
          <w:szCs w:val="22"/>
        </w:rPr>
        <w:t xml:space="preserve">Allergy, </w:t>
      </w:r>
      <w:r>
        <w:rPr>
          <w:i/>
          <w:iCs/>
          <w:sz w:val="22"/>
          <w:szCs w:val="22"/>
        </w:rPr>
        <w:t>A</w:t>
      </w:r>
      <w:r w:rsidRPr="0041416B">
        <w:rPr>
          <w:i/>
          <w:iCs/>
          <w:sz w:val="22"/>
          <w:szCs w:val="22"/>
        </w:rPr>
        <w:t xml:space="preserve">sthma </w:t>
      </w:r>
      <w:r>
        <w:rPr>
          <w:i/>
          <w:iCs/>
          <w:sz w:val="22"/>
          <w:szCs w:val="22"/>
        </w:rPr>
        <w:t>&amp;</w:t>
      </w:r>
      <w:r w:rsidRPr="0041416B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</w:t>
      </w:r>
      <w:r w:rsidRPr="0041416B">
        <w:rPr>
          <w:i/>
          <w:iCs/>
          <w:sz w:val="22"/>
          <w:szCs w:val="22"/>
        </w:rPr>
        <w:t xml:space="preserve">linical </w:t>
      </w:r>
      <w:r>
        <w:rPr>
          <w:i/>
          <w:iCs/>
          <w:sz w:val="22"/>
          <w:szCs w:val="22"/>
        </w:rPr>
        <w:t>I</w:t>
      </w:r>
      <w:r w:rsidRPr="0041416B">
        <w:rPr>
          <w:i/>
          <w:iCs/>
          <w:sz w:val="22"/>
          <w:szCs w:val="22"/>
        </w:rPr>
        <w:t>mmunology</w:t>
      </w:r>
      <w:r w:rsidRPr="0041416B">
        <w:rPr>
          <w:sz w:val="22"/>
          <w:szCs w:val="22"/>
        </w:rPr>
        <w:t xml:space="preserve">, </w:t>
      </w:r>
      <w:r w:rsidRPr="0041416B">
        <w:rPr>
          <w:i/>
          <w:iCs/>
          <w:sz w:val="22"/>
          <w:szCs w:val="22"/>
        </w:rPr>
        <w:t>20</w:t>
      </w:r>
      <w:r w:rsidRPr="0041416B">
        <w:rPr>
          <w:sz w:val="22"/>
          <w:szCs w:val="22"/>
        </w:rPr>
        <w:t xml:space="preserve">(3), 78. </w:t>
      </w:r>
      <w:hyperlink r:id="rId10" w:history="1">
        <w:r w:rsidRPr="0041416B">
          <w:rPr>
            <w:rStyle w:val="Hyperlink"/>
            <w:sz w:val="22"/>
            <w:szCs w:val="22"/>
          </w:rPr>
          <w:t>http</w:t>
        </w:r>
        <w:r w:rsidRPr="0041416B">
          <w:rPr>
            <w:rStyle w:val="Hyperlink"/>
            <w:sz w:val="22"/>
            <w:szCs w:val="22"/>
          </w:rPr>
          <w:t>s</w:t>
        </w:r>
        <w:r w:rsidRPr="0041416B">
          <w:rPr>
            <w:rStyle w:val="Hyperlink"/>
            <w:sz w:val="22"/>
            <w:szCs w:val="22"/>
          </w:rPr>
          <w:t>://doi.org/10.1186/s13223-024-00936-1</w:t>
        </w:r>
      </w:hyperlink>
    </w:p>
    <w:p w:rsidR="00600CB8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600CB8">
        <w:rPr>
          <w:sz w:val="22"/>
          <w:szCs w:val="22"/>
        </w:rPr>
        <w:t xml:space="preserve">Khan, D. A., Banerji, A., Blumenthal, K. G., Phillips, E. J., </w:t>
      </w:r>
      <w:proofErr w:type="spellStart"/>
      <w:r w:rsidRPr="00600CB8">
        <w:rPr>
          <w:sz w:val="22"/>
          <w:szCs w:val="22"/>
        </w:rPr>
        <w:t>Solensky</w:t>
      </w:r>
      <w:proofErr w:type="spellEnd"/>
      <w:r w:rsidRPr="00600CB8">
        <w:rPr>
          <w:sz w:val="22"/>
          <w:szCs w:val="22"/>
        </w:rPr>
        <w:t xml:space="preserve">, R., White, A. A., Bernstein, J. A., Chu, D. K., Ellis, A. K., Golden, D. B. K., </w:t>
      </w:r>
      <w:proofErr w:type="spellStart"/>
      <w:r w:rsidRPr="00600CB8">
        <w:rPr>
          <w:sz w:val="22"/>
          <w:szCs w:val="22"/>
        </w:rPr>
        <w:t>Greenhawt</w:t>
      </w:r>
      <w:proofErr w:type="spellEnd"/>
      <w:r w:rsidRPr="00600CB8">
        <w:rPr>
          <w:sz w:val="22"/>
          <w:szCs w:val="22"/>
        </w:rPr>
        <w:t xml:space="preserve">, M. J., Horner, C. C., Ledford, D., Lieberman, J. A., Oppenheimer, J., Rank, M. A., Shaker, M. S., </w:t>
      </w:r>
      <w:proofErr w:type="spellStart"/>
      <w:r w:rsidRPr="00600CB8">
        <w:rPr>
          <w:sz w:val="22"/>
          <w:szCs w:val="22"/>
        </w:rPr>
        <w:t>Stukus</w:t>
      </w:r>
      <w:proofErr w:type="spellEnd"/>
      <w:r w:rsidRPr="00600CB8">
        <w:rPr>
          <w:sz w:val="22"/>
          <w:szCs w:val="22"/>
        </w:rPr>
        <w:t>, D. R., Wallace, D., Wang, J., … Wang, J. (2022). Drug allergy: A 2022 practice parameter update. </w:t>
      </w:r>
      <w:r w:rsidRPr="00600CB8">
        <w:rPr>
          <w:i/>
          <w:iCs/>
          <w:sz w:val="22"/>
          <w:szCs w:val="22"/>
        </w:rPr>
        <w:t>The Journal of allergy and clinical immunology</w:t>
      </w:r>
      <w:r w:rsidRPr="00600CB8">
        <w:rPr>
          <w:sz w:val="22"/>
          <w:szCs w:val="22"/>
        </w:rPr>
        <w:t>, </w:t>
      </w:r>
      <w:r w:rsidRPr="00600CB8">
        <w:rPr>
          <w:i/>
          <w:iCs/>
          <w:sz w:val="22"/>
          <w:szCs w:val="22"/>
        </w:rPr>
        <w:t>150</w:t>
      </w:r>
      <w:r w:rsidRPr="00600CB8">
        <w:rPr>
          <w:sz w:val="22"/>
          <w:szCs w:val="22"/>
        </w:rPr>
        <w:t xml:space="preserve">(6), 1333–1393. </w:t>
      </w:r>
      <w:hyperlink r:id="rId11" w:history="1">
        <w:r w:rsidRPr="00DE37FB">
          <w:rPr>
            <w:rStyle w:val="Hyperlink"/>
            <w:sz w:val="22"/>
            <w:szCs w:val="22"/>
          </w:rPr>
          <w:t>https://doi.org/10.1016/j.jac</w:t>
        </w:r>
        <w:r w:rsidRPr="00DE37FB">
          <w:rPr>
            <w:rStyle w:val="Hyperlink"/>
            <w:sz w:val="22"/>
            <w:szCs w:val="22"/>
          </w:rPr>
          <w:t>i</w:t>
        </w:r>
        <w:r w:rsidRPr="00DE37FB">
          <w:rPr>
            <w:rStyle w:val="Hyperlink"/>
            <w:sz w:val="22"/>
            <w:szCs w:val="22"/>
          </w:rPr>
          <w:t>.2022.08.028</w:t>
        </w:r>
      </w:hyperlink>
      <w:r>
        <w:rPr>
          <w:sz w:val="22"/>
          <w:szCs w:val="22"/>
        </w:rPr>
        <w:t xml:space="preserve"> </w:t>
      </w:r>
      <w:r w:rsidRPr="00600CB8">
        <w:rPr>
          <w:sz w:val="22"/>
          <w:szCs w:val="22"/>
        </w:rPr>
        <w:t xml:space="preserve"> 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proofErr w:type="spellStart"/>
      <w:r w:rsidRPr="0041416B">
        <w:rPr>
          <w:sz w:val="22"/>
          <w:szCs w:val="22"/>
        </w:rPr>
        <w:t>Masmoudi</w:t>
      </w:r>
      <w:proofErr w:type="spellEnd"/>
      <w:r w:rsidRPr="0041416B">
        <w:rPr>
          <w:sz w:val="22"/>
          <w:szCs w:val="22"/>
        </w:rPr>
        <w:t xml:space="preserve">, H. C., </w:t>
      </w:r>
      <w:proofErr w:type="spellStart"/>
      <w:r w:rsidRPr="0041416B">
        <w:rPr>
          <w:sz w:val="22"/>
          <w:szCs w:val="22"/>
        </w:rPr>
        <w:t>Afify</w:t>
      </w:r>
      <w:proofErr w:type="spellEnd"/>
      <w:r w:rsidRPr="0041416B">
        <w:rPr>
          <w:sz w:val="22"/>
          <w:szCs w:val="22"/>
        </w:rPr>
        <w:t xml:space="preserve">, N., </w:t>
      </w:r>
      <w:proofErr w:type="spellStart"/>
      <w:r w:rsidRPr="0041416B">
        <w:rPr>
          <w:sz w:val="22"/>
          <w:szCs w:val="22"/>
        </w:rPr>
        <w:t>Alnaqbi</w:t>
      </w:r>
      <w:proofErr w:type="spellEnd"/>
      <w:r w:rsidRPr="0041416B">
        <w:rPr>
          <w:sz w:val="22"/>
          <w:szCs w:val="22"/>
        </w:rPr>
        <w:t xml:space="preserve">, H., </w:t>
      </w:r>
      <w:proofErr w:type="spellStart"/>
      <w:r w:rsidRPr="0041416B">
        <w:rPr>
          <w:sz w:val="22"/>
          <w:szCs w:val="22"/>
        </w:rPr>
        <w:t>Alhalwachi</w:t>
      </w:r>
      <w:proofErr w:type="spellEnd"/>
      <w:r w:rsidRPr="0041416B">
        <w:rPr>
          <w:sz w:val="22"/>
          <w:szCs w:val="22"/>
        </w:rPr>
        <w:t xml:space="preserve">, Z., Tay, G. K., &amp; </w:t>
      </w:r>
      <w:proofErr w:type="spellStart"/>
      <w:r w:rsidRPr="0041416B">
        <w:rPr>
          <w:sz w:val="22"/>
          <w:szCs w:val="22"/>
        </w:rPr>
        <w:t>Alsafar</w:t>
      </w:r>
      <w:proofErr w:type="spellEnd"/>
      <w:r w:rsidRPr="0041416B">
        <w:rPr>
          <w:sz w:val="22"/>
          <w:szCs w:val="22"/>
        </w:rPr>
        <w:t xml:space="preserve">, H. (2022). HLA pharmacogenetic markers of drug hypersensitivity from the perspective of the populations of </w:t>
      </w:r>
      <w:r w:rsidRPr="0041416B">
        <w:rPr>
          <w:sz w:val="22"/>
          <w:szCs w:val="22"/>
        </w:rPr>
        <w:lastRenderedPageBreak/>
        <w:t xml:space="preserve">the Greater Middle East. </w:t>
      </w:r>
      <w:r w:rsidRPr="0041416B">
        <w:rPr>
          <w:i/>
          <w:iCs/>
          <w:sz w:val="22"/>
          <w:szCs w:val="22"/>
        </w:rPr>
        <w:t>Pharmacogenomics, 23</w:t>
      </w:r>
      <w:r w:rsidRPr="0041416B">
        <w:rPr>
          <w:sz w:val="22"/>
          <w:szCs w:val="22"/>
        </w:rPr>
        <w:t xml:space="preserve">(12), 695–708. </w:t>
      </w:r>
      <w:hyperlink r:id="rId12" w:history="1">
        <w:r w:rsidRPr="0041416B">
          <w:rPr>
            <w:rStyle w:val="Hyperlink"/>
            <w:sz w:val="22"/>
            <w:szCs w:val="22"/>
          </w:rPr>
          <w:t>https:</w:t>
        </w:r>
        <w:r w:rsidRPr="0041416B">
          <w:rPr>
            <w:rStyle w:val="Hyperlink"/>
            <w:sz w:val="22"/>
            <w:szCs w:val="22"/>
          </w:rPr>
          <w:t>/</w:t>
        </w:r>
        <w:r w:rsidRPr="0041416B">
          <w:rPr>
            <w:rStyle w:val="Hyperlink"/>
            <w:sz w:val="22"/>
            <w:szCs w:val="22"/>
          </w:rPr>
          <w:t>/doi.org/10.2217/pgs-2022-0078</w:t>
        </w:r>
      </w:hyperlink>
      <w:r w:rsidRPr="0041416B">
        <w:rPr>
          <w:sz w:val="22"/>
          <w:szCs w:val="22"/>
        </w:rPr>
        <w:t> 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41416B">
        <w:rPr>
          <w:sz w:val="22"/>
          <w:szCs w:val="22"/>
        </w:rPr>
        <w:t xml:space="preserve">Pichler, W. J. (2025, August 3). </w:t>
      </w:r>
      <w:r w:rsidRPr="0041416B">
        <w:rPr>
          <w:i/>
          <w:iCs/>
          <w:sz w:val="22"/>
          <w:szCs w:val="22"/>
        </w:rPr>
        <w:t>Drug allergy: Pathogenesis</w:t>
      </w:r>
      <w:r w:rsidRPr="0041416B">
        <w:rPr>
          <w:sz w:val="22"/>
          <w:szCs w:val="22"/>
        </w:rPr>
        <w:t xml:space="preserve">. In UpToDate. </w:t>
      </w:r>
      <w:hyperlink r:id="rId13" w:history="1">
        <w:r w:rsidRPr="0041416B">
          <w:rPr>
            <w:rStyle w:val="Hyperlink"/>
            <w:sz w:val="22"/>
            <w:szCs w:val="22"/>
          </w:rPr>
          <w:t>https://www.up</w:t>
        </w:r>
        <w:r w:rsidRPr="0041416B">
          <w:rPr>
            <w:rStyle w:val="Hyperlink"/>
            <w:sz w:val="22"/>
            <w:szCs w:val="22"/>
          </w:rPr>
          <w:t>t</w:t>
        </w:r>
        <w:r w:rsidRPr="0041416B">
          <w:rPr>
            <w:rStyle w:val="Hyperlink"/>
            <w:sz w:val="22"/>
            <w:szCs w:val="22"/>
          </w:rPr>
          <w:t>odate.com/contents/drug-allergy-pathogenesis?search=drug%20allergy&amp;source=search_result&amp;selectedTitle=3~150&amp;usage_type=default&amp;display_rank=3</w:t>
        </w:r>
      </w:hyperlink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41416B">
        <w:rPr>
          <w:sz w:val="22"/>
          <w:szCs w:val="22"/>
        </w:rPr>
        <w:t xml:space="preserve">Quan, P. L., Sánchez-Fernández, S., Parrado Gil, L., et al. (2023). Usefulness of drug allergy alert systems: Present and future. </w:t>
      </w:r>
      <w:r w:rsidRPr="0041416B">
        <w:rPr>
          <w:i/>
          <w:iCs/>
          <w:sz w:val="22"/>
          <w:szCs w:val="22"/>
        </w:rPr>
        <w:t>Current Treatment Options in Allergy, 10</w:t>
      </w:r>
      <w:r w:rsidRPr="0041416B">
        <w:rPr>
          <w:sz w:val="22"/>
          <w:szCs w:val="22"/>
        </w:rPr>
        <w:t xml:space="preserve">, 413–427. </w:t>
      </w:r>
      <w:hyperlink r:id="rId14" w:history="1">
        <w:r w:rsidRPr="0041416B">
          <w:rPr>
            <w:rStyle w:val="Hyperlink"/>
            <w:sz w:val="22"/>
            <w:szCs w:val="22"/>
          </w:rPr>
          <w:t>https://doi.org/10.1007/s4052</w:t>
        </w:r>
        <w:r w:rsidRPr="0041416B">
          <w:rPr>
            <w:rStyle w:val="Hyperlink"/>
            <w:sz w:val="22"/>
            <w:szCs w:val="22"/>
          </w:rPr>
          <w:t>1</w:t>
        </w:r>
        <w:r w:rsidRPr="0041416B">
          <w:rPr>
            <w:rStyle w:val="Hyperlink"/>
            <w:sz w:val="22"/>
            <w:szCs w:val="22"/>
          </w:rPr>
          <w:t>-023-00351-8</w:t>
        </w:r>
      </w:hyperlink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41416B">
        <w:rPr>
          <w:sz w:val="22"/>
          <w:szCs w:val="22"/>
        </w:rPr>
        <w:t xml:space="preserve">Romano, A., </w:t>
      </w:r>
      <w:proofErr w:type="spellStart"/>
      <w:r>
        <w:rPr>
          <w:sz w:val="22"/>
          <w:szCs w:val="22"/>
        </w:rPr>
        <w:t>Valluzzi</w:t>
      </w:r>
      <w:proofErr w:type="spellEnd"/>
      <w:r>
        <w:rPr>
          <w:sz w:val="22"/>
          <w:szCs w:val="22"/>
        </w:rPr>
        <w:t xml:space="preserve">, R. L., Alvarez-Cuesta, E., </w:t>
      </w:r>
      <w:proofErr w:type="spellStart"/>
      <w:r>
        <w:rPr>
          <w:sz w:val="22"/>
          <w:szCs w:val="22"/>
        </w:rPr>
        <w:t>Ansotegui</w:t>
      </w:r>
      <w:proofErr w:type="spellEnd"/>
      <w:r>
        <w:rPr>
          <w:sz w:val="22"/>
          <w:szCs w:val="22"/>
        </w:rPr>
        <w:t xml:space="preserve">, I., </w:t>
      </w:r>
      <w:proofErr w:type="spellStart"/>
      <w:r>
        <w:rPr>
          <w:sz w:val="22"/>
          <w:szCs w:val="22"/>
        </w:rPr>
        <w:t>Asero</w:t>
      </w:r>
      <w:proofErr w:type="spellEnd"/>
      <w:r>
        <w:rPr>
          <w:sz w:val="22"/>
          <w:szCs w:val="22"/>
        </w:rPr>
        <w:t xml:space="preserve">, R., </w:t>
      </w:r>
      <w:proofErr w:type="spellStart"/>
      <w:r>
        <w:rPr>
          <w:sz w:val="22"/>
          <w:szCs w:val="22"/>
        </w:rPr>
        <w:t>Barbaud</w:t>
      </w:r>
      <w:proofErr w:type="spellEnd"/>
      <w:r>
        <w:rPr>
          <w:sz w:val="22"/>
          <w:szCs w:val="22"/>
        </w:rPr>
        <w:t xml:space="preserve">, A., </w:t>
      </w:r>
      <w:proofErr w:type="spellStart"/>
      <w:r>
        <w:rPr>
          <w:sz w:val="22"/>
          <w:szCs w:val="22"/>
        </w:rPr>
        <w:t>Bartra</w:t>
      </w:r>
      <w:proofErr w:type="spellEnd"/>
      <w:r>
        <w:rPr>
          <w:sz w:val="22"/>
          <w:szCs w:val="22"/>
        </w:rPr>
        <w:t xml:space="preserve">, J., </w:t>
      </w:r>
      <w:proofErr w:type="spellStart"/>
      <w:r>
        <w:rPr>
          <w:sz w:val="22"/>
          <w:szCs w:val="22"/>
        </w:rPr>
        <w:t>Bavbek</w:t>
      </w:r>
      <w:proofErr w:type="spellEnd"/>
      <w:r>
        <w:rPr>
          <w:sz w:val="22"/>
          <w:szCs w:val="22"/>
        </w:rPr>
        <w:t xml:space="preserve">, S., Cahill, K. N., </w:t>
      </w:r>
      <w:proofErr w:type="spellStart"/>
      <w:r>
        <w:rPr>
          <w:sz w:val="22"/>
          <w:szCs w:val="22"/>
        </w:rPr>
        <w:t>Demoly</w:t>
      </w:r>
      <w:proofErr w:type="spellEnd"/>
      <w:r>
        <w:rPr>
          <w:sz w:val="22"/>
          <w:szCs w:val="22"/>
        </w:rPr>
        <w:t xml:space="preserve">, P., Doña, I., Meléndez, M. A. G., </w:t>
      </w:r>
      <w:proofErr w:type="spellStart"/>
      <w:r>
        <w:rPr>
          <w:sz w:val="22"/>
          <w:szCs w:val="22"/>
        </w:rPr>
        <w:t>Kidon</w:t>
      </w:r>
      <w:proofErr w:type="spellEnd"/>
      <w:r>
        <w:rPr>
          <w:sz w:val="22"/>
          <w:szCs w:val="22"/>
        </w:rPr>
        <w:t>, M., Li, L., Madrigal-</w:t>
      </w:r>
      <w:proofErr w:type="spellStart"/>
      <w:r>
        <w:rPr>
          <w:sz w:val="22"/>
          <w:szCs w:val="22"/>
        </w:rPr>
        <w:t>Burgaleta</w:t>
      </w:r>
      <w:proofErr w:type="spellEnd"/>
      <w:r>
        <w:rPr>
          <w:sz w:val="22"/>
          <w:szCs w:val="22"/>
        </w:rPr>
        <w:t xml:space="preserve">, R., </w:t>
      </w:r>
      <w:proofErr w:type="spellStart"/>
      <w:r>
        <w:rPr>
          <w:sz w:val="22"/>
          <w:szCs w:val="22"/>
        </w:rPr>
        <w:t>Makowska</w:t>
      </w:r>
      <w:proofErr w:type="spellEnd"/>
      <w:r>
        <w:rPr>
          <w:sz w:val="22"/>
          <w:szCs w:val="22"/>
        </w:rPr>
        <w:t xml:space="preserve">, J. S., Park, H. S., Picado, C., </w:t>
      </w:r>
      <w:proofErr w:type="spellStart"/>
      <w:r>
        <w:rPr>
          <w:sz w:val="22"/>
          <w:szCs w:val="22"/>
        </w:rPr>
        <w:t>Sanak</w:t>
      </w:r>
      <w:proofErr w:type="spellEnd"/>
      <w:r>
        <w:rPr>
          <w:sz w:val="22"/>
          <w:szCs w:val="22"/>
        </w:rPr>
        <w:t xml:space="preserve">, M., … Yamaguchi, M. </w:t>
      </w:r>
      <w:r w:rsidRPr="0041416B">
        <w:rPr>
          <w:sz w:val="22"/>
          <w:szCs w:val="22"/>
        </w:rPr>
        <w:t>(20</w:t>
      </w:r>
      <w:r>
        <w:rPr>
          <w:sz w:val="22"/>
          <w:szCs w:val="22"/>
        </w:rPr>
        <w:t>25</w:t>
      </w:r>
      <w:r w:rsidRPr="0041416B">
        <w:rPr>
          <w:sz w:val="22"/>
          <w:szCs w:val="22"/>
        </w:rPr>
        <w:t xml:space="preserve">). </w:t>
      </w:r>
      <w:r>
        <w:rPr>
          <w:sz w:val="22"/>
          <w:szCs w:val="22"/>
        </w:rPr>
        <w:t>Updating the classification and routine diagnosis of NSAID hypersensitivity reactions: A WAO statement</w:t>
      </w:r>
      <w:r w:rsidRPr="0041416B">
        <w:rPr>
          <w:sz w:val="22"/>
          <w:szCs w:val="22"/>
        </w:rPr>
        <w:t xml:space="preserve">. </w:t>
      </w:r>
      <w:r w:rsidRPr="00600CB8">
        <w:rPr>
          <w:i/>
          <w:iCs/>
          <w:sz w:val="22"/>
          <w:szCs w:val="22"/>
        </w:rPr>
        <w:t>World</w:t>
      </w:r>
      <w:r>
        <w:rPr>
          <w:i/>
          <w:iCs/>
          <w:sz w:val="22"/>
          <w:szCs w:val="22"/>
        </w:rPr>
        <w:t xml:space="preserve"> </w:t>
      </w:r>
      <w:r w:rsidRPr="0041416B">
        <w:rPr>
          <w:i/>
          <w:iCs/>
          <w:sz w:val="22"/>
          <w:szCs w:val="22"/>
        </w:rPr>
        <w:t>Allergy</w:t>
      </w:r>
      <w:r>
        <w:rPr>
          <w:i/>
          <w:iCs/>
          <w:sz w:val="22"/>
          <w:szCs w:val="22"/>
        </w:rPr>
        <w:t xml:space="preserve"> Organization Journal</w:t>
      </w:r>
      <w:r w:rsidRPr="0041416B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18</w:t>
      </w:r>
      <w:r w:rsidRPr="0041416B">
        <w:rPr>
          <w:sz w:val="22"/>
          <w:szCs w:val="22"/>
        </w:rPr>
        <w:t>(</w:t>
      </w:r>
      <w:r>
        <w:rPr>
          <w:sz w:val="22"/>
          <w:szCs w:val="22"/>
        </w:rPr>
        <w:t>8</w:t>
      </w:r>
      <w:r w:rsidRPr="0041416B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41416B">
        <w:rPr>
          <w:sz w:val="22"/>
          <w:szCs w:val="22"/>
        </w:rPr>
        <w:t xml:space="preserve"> </w:t>
      </w:r>
      <w:hyperlink r:id="rId15" w:history="1">
        <w:r w:rsidRPr="00DE37FB">
          <w:rPr>
            <w:rStyle w:val="Hyperlink"/>
            <w:sz w:val="22"/>
            <w:szCs w:val="22"/>
          </w:rPr>
          <w:t>https://doi.org/10.1016/j.waojou.</w:t>
        </w:r>
        <w:r w:rsidRPr="00DE37FB">
          <w:rPr>
            <w:rStyle w:val="Hyperlink"/>
            <w:sz w:val="22"/>
            <w:szCs w:val="22"/>
          </w:rPr>
          <w:t>2</w:t>
        </w:r>
        <w:r w:rsidRPr="00DE37FB">
          <w:rPr>
            <w:rStyle w:val="Hyperlink"/>
            <w:sz w:val="22"/>
            <w:szCs w:val="22"/>
          </w:rPr>
          <w:t>025.101086</w:t>
        </w:r>
      </w:hyperlink>
      <w:r>
        <w:rPr>
          <w:sz w:val="22"/>
          <w:szCs w:val="22"/>
        </w:rPr>
        <w:t xml:space="preserve"> </w:t>
      </w:r>
    </w:p>
    <w:p w:rsidR="00600CB8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41416B">
        <w:rPr>
          <w:sz w:val="22"/>
          <w:szCs w:val="22"/>
        </w:rPr>
        <w:t xml:space="preserve">Thomson, P., Hammond, S., &amp; </w:t>
      </w:r>
      <w:proofErr w:type="spellStart"/>
      <w:r w:rsidRPr="0041416B">
        <w:rPr>
          <w:sz w:val="22"/>
          <w:szCs w:val="22"/>
        </w:rPr>
        <w:t>Naisbitt</w:t>
      </w:r>
      <w:proofErr w:type="spellEnd"/>
      <w:r w:rsidRPr="0041416B">
        <w:rPr>
          <w:sz w:val="22"/>
          <w:szCs w:val="22"/>
        </w:rPr>
        <w:t xml:space="preserve">, D. J. (2022). Pathology of drug hypersensitivity reactions and mechanisms of immune tolerance. </w:t>
      </w:r>
      <w:r w:rsidRPr="0041416B">
        <w:rPr>
          <w:i/>
          <w:iCs/>
          <w:sz w:val="22"/>
          <w:szCs w:val="22"/>
        </w:rPr>
        <w:t>Clinical &amp; Experimental Allergy, 52</w:t>
      </w:r>
      <w:r w:rsidRPr="0041416B">
        <w:rPr>
          <w:sz w:val="22"/>
          <w:szCs w:val="22"/>
        </w:rPr>
        <w:t xml:space="preserve">(12), 1379–1390. </w:t>
      </w:r>
      <w:hyperlink r:id="rId16" w:history="1">
        <w:r w:rsidRPr="0041416B">
          <w:rPr>
            <w:rStyle w:val="Hyperlink"/>
            <w:sz w:val="22"/>
            <w:szCs w:val="22"/>
          </w:rPr>
          <w:t>https://doi.org/10.1111/cea.</w:t>
        </w:r>
        <w:r w:rsidRPr="0041416B">
          <w:rPr>
            <w:rStyle w:val="Hyperlink"/>
            <w:sz w:val="22"/>
            <w:szCs w:val="22"/>
          </w:rPr>
          <w:t>1</w:t>
        </w:r>
        <w:r w:rsidRPr="0041416B">
          <w:rPr>
            <w:rStyle w:val="Hyperlink"/>
            <w:sz w:val="22"/>
            <w:szCs w:val="22"/>
          </w:rPr>
          <w:t>4235</w:t>
        </w:r>
      </w:hyperlink>
      <w:r w:rsidRPr="0041416B">
        <w:rPr>
          <w:sz w:val="22"/>
          <w:szCs w:val="22"/>
        </w:rPr>
        <w:t> 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van der Molen, A. J., van de Ven, A. A. J. M., Vega, F., Dekkers, I. A., </w:t>
      </w:r>
      <w:proofErr w:type="spellStart"/>
      <w:r>
        <w:rPr>
          <w:sz w:val="22"/>
          <w:szCs w:val="22"/>
        </w:rPr>
        <w:t>Geenen</w:t>
      </w:r>
      <w:proofErr w:type="spellEnd"/>
      <w:r>
        <w:rPr>
          <w:sz w:val="22"/>
          <w:szCs w:val="22"/>
        </w:rPr>
        <w:t xml:space="preserve">, R. W. F., Bellin, M. F., </w:t>
      </w:r>
      <w:proofErr w:type="spellStart"/>
      <w:r>
        <w:rPr>
          <w:sz w:val="22"/>
          <w:szCs w:val="22"/>
        </w:rPr>
        <w:t>Bertolotto</w:t>
      </w:r>
      <w:proofErr w:type="spellEnd"/>
      <w:r>
        <w:rPr>
          <w:sz w:val="22"/>
          <w:szCs w:val="22"/>
        </w:rPr>
        <w:t xml:space="preserve">, M., </w:t>
      </w:r>
      <w:proofErr w:type="spellStart"/>
      <w:r>
        <w:rPr>
          <w:sz w:val="22"/>
          <w:szCs w:val="22"/>
        </w:rPr>
        <w:t>Brismas</w:t>
      </w:r>
      <w:proofErr w:type="spellEnd"/>
      <w:r>
        <w:rPr>
          <w:sz w:val="22"/>
          <w:szCs w:val="22"/>
        </w:rPr>
        <w:t xml:space="preserve">, T. B., Clément, O., Correas, J. M., </w:t>
      </w:r>
      <w:proofErr w:type="spellStart"/>
      <w:r>
        <w:rPr>
          <w:sz w:val="22"/>
          <w:szCs w:val="22"/>
        </w:rPr>
        <w:t>Deike</w:t>
      </w:r>
      <w:proofErr w:type="spellEnd"/>
      <w:r>
        <w:rPr>
          <w:sz w:val="22"/>
          <w:szCs w:val="22"/>
        </w:rPr>
        <w:t xml:space="preserve">, K., Heinz, G., Mahnken, A. H., </w:t>
      </w:r>
      <w:proofErr w:type="spellStart"/>
      <w:r>
        <w:rPr>
          <w:sz w:val="22"/>
          <w:szCs w:val="22"/>
        </w:rPr>
        <w:t>Mallio</w:t>
      </w:r>
      <w:proofErr w:type="spellEnd"/>
      <w:r>
        <w:rPr>
          <w:sz w:val="22"/>
          <w:szCs w:val="22"/>
        </w:rPr>
        <w:t xml:space="preserve">, C. A., Quattrocchi, C. C., </w:t>
      </w:r>
      <w:proofErr w:type="spellStart"/>
      <w:r>
        <w:rPr>
          <w:sz w:val="22"/>
          <w:szCs w:val="22"/>
        </w:rPr>
        <w:t>Radbruch</w:t>
      </w:r>
      <w:proofErr w:type="spellEnd"/>
      <w:r>
        <w:rPr>
          <w:sz w:val="22"/>
          <w:szCs w:val="22"/>
        </w:rPr>
        <w:t xml:space="preserve">, A., Reimer, P., </w:t>
      </w:r>
      <w:proofErr w:type="spellStart"/>
      <w:r>
        <w:rPr>
          <w:sz w:val="22"/>
          <w:szCs w:val="22"/>
        </w:rPr>
        <w:t>Roditi</w:t>
      </w:r>
      <w:proofErr w:type="spellEnd"/>
      <w:r>
        <w:rPr>
          <w:sz w:val="22"/>
          <w:szCs w:val="22"/>
        </w:rPr>
        <w:t xml:space="preserve">, G., </w:t>
      </w:r>
      <w:proofErr w:type="spellStart"/>
      <w:r>
        <w:rPr>
          <w:sz w:val="22"/>
          <w:szCs w:val="22"/>
        </w:rPr>
        <w:t>Romanini</w:t>
      </w:r>
      <w:proofErr w:type="spellEnd"/>
      <w:r>
        <w:rPr>
          <w:sz w:val="22"/>
          <w:szCs w:val="22"/>
        </w:rPr>
        <w:t xml:space="preserve">, L., </w:t>
      </w:r>
      <w:proofErr w:type="spellStart"/>
      <w:r>
        <w:rPr>
          <w:sz w:val="22"/>
          <w:szCs w:val="22"/>
        </w:rPr>
        <w:t>Sebastià</w:t>
      </w:r>
      <w:proofErr w:type="spellEnd"/>
      <w:r>
        <w:rPr>
          <w:sz w:val="22"/>
          <w:szCs w:val="22"/>
        </w:rPr>
        <w:t xml:space="preserve">, C., &amp; </w:t>
      </w:r>
      <w:proofErr w:type="spellStart"/>
      <w:r>
        <w:rPr>
          <w:sz w:val="22"/>
          <w:szCs w:val="22"/>
        </w:rPr>
        <w:t>Stacul</w:t>
      </w:r>
      <w:proofErr w:type="spellEnd"/>
      <w:r>
        <w:rPr>
          <w:sz w:val="22"/>
          <w:szCs w:val="22"/>
        </w:rPr>
        <w:t xml:space="preserve">, F. (2025). Hypersensitivity reactions to contrast media: Part 1. Management of immediate and non-immediate hypersensitivity reactions in adults. Updated guidelines by the ESUR contrast media safety committee. </w:t>
      </w:r>
      <w:r>
        <w:rPr>
          <w:i/>
          <w:iCs/>
          <w:sz w:val="22"/>
          <w:szCs w:val="22"/>
        </w:rPr>
        <w:t>Springer Nature Link. 35</w:t>
      </w:r>
      <w:r>
        <w:rPr>
          <w:sz w:val="22"/>
          <w:szCs w:val="22"/>
        </w:rPr>
        <w:t xml:space="preserve">, 6798-6810. </w:t>
      </w:r>
      <w:hyperlink r:id="rId17" w:history="1">
        <w:r w:rsidRPr="00DE37FB">
          <w:rPr>
            <w:rStyle w:val="Hyperlink"/>
            <w:sz w:val="22"/>
            <w:szCs w:val="22"/>
          </w:rPr>
          <w:t>https://doi.org/10.1007/s00330-025-11675-1</w:t>
        </w:r>
      </w:hyperlink>
      <w:r>
        <w:rPr>
          <w:sz w:val="22"/>
          <w:szCs w:val="22"/>
        </w:rPr>
        <w:t xml:space="preserve"> 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proofErr w:type="spellStart"/>
      <w:r w:rsidRPr="0041416B">
        <w:rPr>
          <w:sz w:val="22"/>
          <w:szCs w:val="22"/>
        </w:rPr>
        <w:lastRenderedPageBreak/>
        <w:t>Vultaggio</w:t>
      </w:r>
      <w:proofErr w:type="spellEnd"/>
      <w:r w:rsidRPr="0041416B">
        <w:rPr>
          <w:sz w:val="22"/>
          <w:szCs w:val="22"/>
        </w:rPr>
        <w:t xml:space="preserve">, A., </w:t>
      </w:r>
      <w:proofErr w:type="spellStart"/>
      <w:r w:rsidRPr="0041416B">
        <w:rPr>
          <w:sz w:val="22"/>
          <w:szCs w:val="22"/>
        </w:rPr>
        <w:t>Matucci</w:t>
      </w:r>
      <w:proofErr w:type="spellEnd"/>
      <w:r w:rsidRPr="0041416B">
        <w:rPr>
          <w:sz w:val="22"/>
          <w:szCs w:val="22"/>
        </w:rPr>
        <w:t xml:space="preserve">, A., </w:t>
      </w:r>
      <w:proofErr w:type="spellStart"/>
      <w:r w:rsidRPr="0041416B">
        <w:rPr>
          <w:sz w:val="22"/>
          <w:szCs w:val="22"/>
        </w:rPr>
        <w:t>Nencini</w:t>
      </w:r>
      <w:proofErr w:type="spellEnd"/>
      <w:r w:rsidRPr="0041416B">
        <w:rPr>
          <w:sz w:val="22"/>
          <w:szCs w:val="22"/>
        </w:rPr>
        <w:t xml:space="preserve">, F., </w:t>
      </w:r>
      <w:proofErr w:type="spellStart"/>
      <w:r w:rsidRPr="0041416B">
        <w:rPr>
          <w:sz w:val="22"/>
          <w:szCs w:val="22"/>
        </w:rPr>
        <w:t>Bormioli</w:t>
      </w:r>
      <w:proofErr w:type="spellEnd"/>
      <w:r w:rsidRPr="0041416B">
        <w:rPr>
          <w:sz w:val="22"/>
          <w:szCs w:val="22"/>
        </w:rPr>
        <w:t xml:space="preserve">, S., </w:t>
      </w:r>
      <w:proofErr w:type="spellStart"/>
      <w:r w:rsidRPr="0041416B">
        <w:rPr>
          <w:sz w:val="22"/>
          <w:szCs w:val="22"/>
        </w:rPr>
        <w:t>Vivarelli</w:t>
      </w:r>
      <w:proofErr w:type="spellEnd"/>
      <w:r w:rsidRPr="0041416B">
        <w:rPr>
          <w:sz w:val="22"/>
          <w:szCs w:val="22"/>
        </w:rPr>
        <w:t xml:space="preserve">, E., &amp; Maggi, E. (2020). Mechanisms of drug desensitization: Not only mast cells. </w:t>
      </w:r>
      <w:r w:rsidRPr="0041416B">
        <w:rPr>
          <w:i/>
          <w:iCs/>
          <w:sz w:val="22"/>
          <w:szCs w:val="22"/>
        </w:rPr>
        <w:t>Frontiers in Pharmacology, 11</w:t>
      </w:r>
      <w:r w:rsidRPr="0041416B">
        <w:rPr>
          <w:sz w:val="22"/>
          <w:szCs w:val="22"/>
        </w:rPr>
        <w:t xml:space="preserve">. </w:t>
      </w:r>
      <w:hyperlink r:id="rId18" w:history="1">
        <w:r w:rsidRPr="0041416B">
          <w:rPr>
            <w:rStyle w:val="Hyperlink"/>
            <w:sz w:val="22"/>
            <w:szCs w:val="22"/>
          </w:rPr>
          <w:t>https://doi.org/10.3389/fphar.2020.590</w:t>
        </w:r>
        <w:r w:rsidRPr="0041416B">
          <w:rPr>
            <w:rStyle w:val="Hyperlink"/>
            <w:sz w:val="22"/>
            <w:szCs w:val="22"/>
          </w:rPr>
          <w:t>9</w:t>
        </w:r>
        <w:r w:rsidRPr="0041416B">
          <w:rPr>
            <w:rStyle w:val="Hyperlink"/>
            <w:sz w:val="22"/>
            <w:szCs w:val="22"/>
          </w:rPr>
          <w:t>91</w:t>
        </w:r>
      </w:hyperlink>
      <w:r w:rsidRPr="0041416B">
        <w:rPr>
          <w:sz w:val="22"/>
          <w:szCs w:val="22"/>
        </w:rPr>
        <w:t> 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41416B">
        <w:rPr>
          <w:sz w:val="22"/>
          <w:szCs w:val="22"/>
        </w:rPr>
        <w:t xml:space="preserve">Warrington, R., Silviu-Dan, F., &amp; Wong, T. </w:t>
      </w:r>
      <w:r>
        <w:rPr>
          <w:sz w:val="22"/>
          <w:szCs w:val="22"/>
        </w:rPr>
        <w:t xml:space="preserve">(2018). </w:t>
      </w:r>
      <w:r w:rsidRPr="0041416B">
        <w:rPr>
          <w:sz w:val="22"/>
          <w:szCs w:val="22"/>
        </w:rPr>
        <w:t xml:space="preserve">Drug allergy. </w:t>
      </w:r>
      <w:r w:rsidRPr="0041416B">
        <w:rPr>
          <w:i/>
          <w:iCs/>
          <w:sz w:val="22"/>
          <w:szCs w:val="22"/>
        </w:rPr>
        <w:t>Allergy</w:t>
      </w:r>
      <w:r>
        <w:rPr>
          <w:i/>
          <w:iCs/>
          <w:sz w:val="22"/>
          <w:szCs w:val="22"/>
        </w:rPr>
        <w:t>,</w:t>
      </w:r>
      <w:r w:rsidRPr="0041416B">
        <w:rPr>
          <w:i/>
          <w:iCs/>
          <w:sz w:val="22"/>
          <w:szCs w:val="22"/>
        </w:rPr>
        <w:t xml:space="preserve"> Asthma </w:t>
      </w:r>
      <w:r>
        <w:rPr>
          <w:i/>
          <w:iCs/>
          <w:sz w:val="22"/>
          <w:szCs w:val="22"/>
        </w:rPr>
        <w:t xml:space="preserve">&amp; </w:t>
      </w:r>
      <w:r w:rsidRPr="0041416B">
        <w:rPr>
          <w:i/>
          <w:iCs/>
          <w:sz w:val="22"/>
          <w:szCs w:val="22"/>
        </w:rPr>
        <w:t>Clin</w:t>
      </w:r>
      <w:r>
        <w:rPr>
          <w:i/>
          <w:iCs/>
          <w:sz w:val="22"/>
          <w:szCs w:val="22"/>
        </w:rPr>
        <w:t>ical</w:t>
      </w:r>
      <w:r w:rsidRPr="0041416B">
        <w:rPr>
          <w:i/>
          <w:iCs/>
          <w:sz w:val="22"/>
          <w:szCs w:val="22"/>
        </w:rPr>
        <w:t xml:space="preserve"> Immunol</w:t>
      </w:r>
      <w:r>
        <w:rPr>
          <w:i/>
          <w:iCs/>
          <w:sz w:val="22"/>
          <w:szCs w:val="22"/>
        </w:rPr>
        <w:t>ogy,</w:t>
      </w:r>
      <w:r w:rsidRPr="0041416B">
        <w:rPr>
          <w:i/>
          <w:iCs/>
          <w:sz w:val="22"/>
          <w:szCs w:val="22"/>
        </w:rPr>
        <w:t xml:space="preserve"> 14</w:t>
      </w:r>
      <w:r>
        <w:rPr>
          <w:i/>
          <w:iCs/>
          <w:sz w:val="22"/>
          <w:szCs w:val="22"/>
        </w:rPr>
        <w:t xml:space="preserve"> </w:t>
      </w:r>
      <w:r w:rsidRPr="0041416B">
        <w:rPr>
          <w:i/>
          <w:iCs/>
          <w:sz w:val="22"/>
          <w:szCs w:val="22"/>
        </w:rPr>
        <w:t>Suppl 2</w:t>
      </w:r>
      <w:r w:rsidRPr="0041416B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41416B">
        <w:rPr>
          <w:sz w:val="22"/>
          <w:szCs w:val="22"/>
        </w:rPr>
        <w:t>60</w:t>
      </w:r>
      <w:r>
        <w:rPr>
          <w:sz w:val="22"/>
          <w:szCs w:val="22"/>
        </w:rPr>
        <w:t xml:space="preserve">). </w:t>
      </w:r>
      <w:hyperlink r:id="rId19" w:history="1">
        <w:r w:rsidRPr="0041416B">
          <w:rPr>
            <w:rStyle w:val="Hyperlink"/>
            <w:sz w:val="22"/>
            <w:szCs w:val="22"/>
          </w:rPr>
          <w:t>https://doi.org/10.1186/s13223-</w:t>
        </w:r>
        <w:r w:rsidRPr="0041416B">
          <w:rPr>
            <w:rStyle w:val="Hyperlink"/>
            <w:sz w:val="22"/>
            <w:szCs w:val="22"/>
          </w:rPr>
          <w:t>0</w:t>
        </w:r>
        <w:r w:rsidRPr="0041416B">
          <w:rPr>
            <w:rStyle w:val="Hyperlink"/>
            <w:sz w:val="22"/>
            <w:szCs w:val="22"/>
          </w:rPr>
          <w:t>18-</w:t>
        </w:r>
        <w:r w:rsidRPr="0041416B">
          <w:rPr>
            <w:rStyle w:val="Hyperlink"/>
            <w:sz w:val="22"/>
            <w:szCs w:val="22"/>
          </w:rPr>
          <w:t>0</w:t>
        </w:r>
        <w:r w:rsidRPr="0041416B">
          <w:rPr>
            <w:rStyle w:val="Hyperlink"/>
            <w:sz w:val="22"/>
            <w:szCs w:val="22"/>
          </w:rPr>
          <w:t>2</w:t>
        </w:r>
        <w:r w:rsidRPr="0041416B">
          <w:rPr>
            <w:rStyle w:val="Hyperlink"/>
            <w:sz w:val="22"/>
            <w:szCs w:val="22"/>
          </w:rPr>
          <w:t>89-y</w:t>
        </w:r>
      </w:hyperlink>
      <w:r>
        <w:rPr>
          <w:sz w:val="22"/>
          <w:szCs w:val="22"/>
        </w:rPr>
        <w:t xml:space="preserve"> 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r w:rsidRPr="0041416B">
        <w:rPr>
          <w:sz w:val="22"/>
          <w:szCs w:val="22"/>
        </w:rPr>
        <w:t xml:space="preserve">Wittwer, N. L., Meier, C. R., Huber, C. A., Moser, J. D., Meyer </w:t>
      </w:r>
      <w:proofErr w:type="spellStart"/>
      <w:r w:rsidRPr="0041416B">
        <w:rPr>
          <w:sz w:val="22"/>
          <w:szCs w:val="22"/>
        </w:rPr>
        <w:t>zu</w:t>
      </w:r>
      <w:proofErr w:type="spellEnd"/>
      <w:r w:rsidRPr="0041416B">
        <w:rPr>
          <w:sz w:val="22"/>
          <w:szCs w:val="22"/>
        </w:rPr>
        <w:t xml:space="preserve"> </w:t>
      </w:r>
      <w:proofErr w:type="spellStart"/>
      <w:r w:rsidRPr="0041416B">
        <w:rPr>
          <w:sz w:val="22"/>
          <w:szCs w:val="22"/>
        </w:rPr>
        <w:t>Schwabedissen</w:t>
      </w:r>
      <w:proofErr w:type="spellEnd"/>
      <w:r w:rsidRPr="0041416B">
        <w:rPr>
          <w:sz w:val="22"/>
          <w:szCs w:val="22"/>
        </w:rPr>
        <w:t xml:space="preserve">, H. E., </w:t>
      </w:r>
      <w:proofErr w:type="spellStart"/>
      <w:r w:rsidRPr="0041416B">
        <w:rPr>
          <w:sz w:val="22"/>
          <w:szCs w:val="22"/>
        </w:rPr>
        <w:t>Allemann</w:t>
      </w:r>
      <w:proofErr w:type="spellEnd"/>
      <w:r w:rsidRPr="0041416B">
        <w:rPr>
          <w:sz w:val="22"/>
          <w:szCs w:val="22"/>
        </w:rPr>
        <w:t>, S. S., &amp; Schneider, C. (2025). The prevalence of potential drug–drug–gene interactions: A descriptive study using Swiss claims data</w:t>
      </w:r>
      <w:r w:rsidRPr="0041416B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proofErr w:type="gramStart"/>
      <w:r w:rsidRPr="0041416B">
        <w:rPr>
          <w:i/>
          <w:iCs/>
          <w:sz w:val="22"/>
          <w:szCs w:val="22"/>
        </w:rPr>
        <w:t>Pharmacogenomics</w:t>
      </w:r>
      <w:proofErr w:type="gramEnd"/>
      <w:r w:rsidRPr="0041416B">
        <w:rPr>
          <w:i/>
          <w:iCs/>
          <w:sz w:val="22"/>
          <w:szCs w:val="22"/>
        </w:rPr>
        <w:t xml:space="preserve"> and Personalized Medicine, 18</w:t>
      </w:r>
      <w:r w:rsidRPr="0041416B">
        <w:rPr>
          <w:sz w:val="22"/>
          <w:szCs w:val="22"/>
        </w:rPr>
        <w:t xml:space="preserve">, 197–208. </w:t>
      </w:r>
      <w:hyperlink r:id="rId20" w:history="1">
        <w:r w:rsidRPr="0041416B">
          <w:rPr>
            <w:rStyle w:val="Hyperlink"/>
            <w:sz w:val="22"/>
            <w:szCs w:val="22"/>
          </w:rPr>
          <w:t>https://doi.org/10.21</w:t>
        </w:r>
        <w:r w:rsidRPr="0041416B">
          <w:rPr>
            <w:rStyle w:val="Hyperlink"/>
            <w:sz w:val="22"/>
            <w:szCs w:val="22"/>
          </w:rPr>
          <w:t>4</w:t>
        </w:r>
        <w:r w:rsidRPr="0041416B">
          <w:rPr>
            <w:rStyle w:val="Hyperlink"/>
            <w:sz w:val="22"/>
            <w:szCs w:val="22"/>
          </w:rPr>
          <w:t>7/PGPM.S52</w:t>
        </w:r>
        <w:r w:rsidRPr="0041416B">
          <w:rPr>
            <w:rStyle w:val="Hyperlink"/>
            <w:sz w:val="22"/>
            <w:szCs w:val="22"/>
          </w:rPr>
          <w:t>7</w:t>
        </w:r>
        <w:r w:rsidRPr="0041416B">
          <w:rPr>
            <w:rStyle w:val="Hyperlink"/>
            <w:sz w:val="22"/>
            <w:szCs w:val="22"/>
          </w:rPr>
          <w:t>556</w:t>
        </w:r>
      </w:hyperlink>
      <w:r w:rsidRPr="0041416B">
        <w:rPr>
          <w:sz w:val="22"/>
          <w:szCs w:val="22"/>
        </w:rPr>
        <w:t> </w:t>
      </w:r>
    </w:p>
    <w:p w:rsidR="00600CB8" w:rsidRPr="0041416B" w:rsidRDefault="00600CB8" w:rsidP="00600CB8">
      <w:pPr>
        <w:spacing w:line="480" w:lineRule="auto"/>
        <w:ind w:left="720" w:hanging="720"/>
        <w:rPr>
          <w:sz w:val="22"/>
          <w:szCs w:val="22"/>
        </w:rPr>
      </w:pPr>
      <w:proofErr w:type="spellStart"/>
      <w:r w:rsidRPr="0041416B">
        <w:rPr>
          <w:sz w:val="22"/>
          <w:szCs w:val="22"/>
        </w:rPr>
        <w:t>Zagursky</w:t>
      </w:r>
      <w:proofErr w:type="spellEnd"/>
      <w:r w:rsidRPr="0041416B">
        <w:rPr>
          <w:sz w:val="22"/>
          <w:szCs w:val="22"/>
        </w:rPr>
        <w:t xml:space="preserve">, R. J., &amp; </w:t>
      </w:r>
      <w:proofErr w:type="spellStart"/>
      <w:r w:rsidRPr="0041416B">
        <w:rPr>
          <w:sz w:val="22"/>
          <w:szCs w:val="22"/>
        </w:rPr>
        <w:t>Pichichero</w:t>
      </w:r>
      <w:proofErr w:type="spellEnd"/>
      <w:r w:rsidRPr="0041416B">
        <w:rPr>
          <w:sz w:val="22"/>
          <w:szCs w:val="22"/>
        </w:rPr>
        <w:t xml:space="preserve">, M. E. (2018). Cross-reactivity in β-lactam allergy. </w:t>
      </w:r>
      <w:r w:rsidRPr="00600CB8">
        <w:rPr>
          <w:i/>
          <w:iCs/>
          <w:sz w:val="22"/>
          <w:szCs w:val="22"/>
        </w:rPr>
        <w:t>The</w:t>
      </w:r>
      <w:r>
        <w:rPr>
          <w:i/>
          <w:iCs/>
          <w:sz w:val="22"/>
          <w:szCs w:val="22"/>
        </w:rPr>
        <w:t xml:space="preserve"> </w:t>
      </w:r>
      <w:r w:rsidRPr="0041416B">
        <w:rPr>
          <w:i/>
          <w:iCs/>
          <w:sz w:val="22"/>
          <w:szCs w:val="22"/>
        </w:rPr>
        <w:t xml:space="preserve">Journal of Allergy </w:t>
      </w:r>
      <w:r>
        <w:rPr>
          <w:i/>
          <w:iCs/>
          <w:sz w:val="22"/>
          <w:szCs w:val="22"/>
        </w:rPr>
        <w:t>and</w:t>
      </w:r>
      <w:r w:rsidRPr="0041416B">
        <w:rPr>
          <w:i/>
          <w:iCs/>
          <w:sz w:val="22"/>
          <w:szCs w:val="22"/>
        </w:rPr>
        <w:t xml:space="preserve"> Clinical Immunology: In Practice, 6</w:t>
      </w:r>
      <w:r w:rsidRPr="0041416B">
        <w:rPr>
          <w:sz w:val="22"/>
          <w:szCs w:val="22"/>
        </w:rPr>
        <w:t>(1), 72-</w:t>
      </w:r>
      <w:proofErr w:type="gramStart"/>
      <w:r w:rsidRPr="0041416B">
        <w:rPr>
          <w:sz w:val="22"/>
          <w:szCs w:val="22"/>
        </w:rPr>
        <w:t>81.e</w:t>
      </w:r>
      <w:proofErr w:type="gramEnd"/>
      <w:r w:rsidRPr="0041416B">
        <w:rPr>
          <w:sz w:val="22"/>
          <w:szCs w:val="22"/>
        </w:rPr>
        <w:t>1.</w:t>
      </w:r>
      <w:hyperlink r:id="rId21" w:history="1">
        <w:r w:rsidRPr="0041416B">
          <w:rPr>
            <w:rStyle w:val="Hyperlink"/>
            <w:sz w:val="22"/>
            <w:szCs w:val="22"/>
          </w:rPr>
          <w:t xml:space="preserve"> https://doi.</w:t>
        </w:r>
        <w:r w:rsidRPr="0041416B">
          <w:rPr>
            <w:rStyle w:val="Hyperlink"/>
            <w:sz w:val="22"/>
            <w:szCs w:val="22"/>
          </w:rPr>
          <w:t>o</w:t>
        </w:r>
        <w:r w:rsidRPr="0041416B">
          <w:rPr>
            <w:rStyle w:val="Hyperlink"/>
            <w:sz w:val="22"/>
            <w:szCs w:val="22"/>
          </w:rPr>
          <w:t>rg/10.1016/j.jaip.2017.08.027</w:t>
        </w:r>
      </w:hyperlink>
    </w:p>
    <w:p w:rsidR="00347A54" w:rsidRPr="00600CB8" w:rsidRDefault="00347A54">
      <w:pPr>
        <w:rPr>
          <w:sz w:val="22"/>
          <w:szCs w:val="22"/>
        </w:rPr>
      </w:pPr>
    </w:p>
    <w:sectPr w:rsidR="00347A54" w:rsidRPr="00600CB8" w:rsidSect="00434D4B">
      <w:headerReference w:type="default" r:id="rId2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418" w:rsidRDefault="00F06418" w:rsidP="00891B28">
      <w:r>
        <w:separator/>
      </w:r>
    </w:p>
  </w:endnote>
  <w:endnote w:type="continuationSeparator" w:id="0">
    <w:p w:rsidR="00F06418" w:rsidRDefault="00F06418" w:rsidP="0089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418" w:rsidRDefault="00F06418" w:rsidP="00891B28">
      <w:r>
        <w:separator/>
      </w:r>
    </w:p>
  </w:footnote>
  <w:footnote w:type="continuationSeparator" w:id="0">
    <w:p w:rsidR="00F06418" w:rsidRDefault="00F06418" w:rsidP="0089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B28" w:rsidRDefault="00891B28">
    <w:pPr>
      <w:pStyle w:val="Header"/>
    </w:pPr>
    <w:r>
      <w:t>Drug Allergy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B8"/>
    <w:rsid w:val="00347A54"/>
    <w:rsid w:val="003D5F34"/>
    <w:rsid w:val="00434D4B"/>
    <w:rsid w:val="00600CB8"/>
    <w:rsid w:val="006623BF"/>
    <w:rsid w:val="00891B28"/>
    <w:rsid w:val="00D56313"/>
    <w:rsid w:val="00F06418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B25C5"/>
  <w15:chartTrackingRefBased/>
  <w15:docId w15:val="{EE56B5F1-F12D-FF49-972D-9812B38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C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0C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C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B28"/>
  </w:style>
  <w:style w:type="paragraph" w:styleId="Footer">
    <w:name w:val="footer"/>
    <w:basedOn w:val="Normal"/>
    <w:link w:val="FooterChar"/>
    <w:uiPriority w:val="99"/>
    <w:unhideWhenUsed/>
    <w:rsid w:val="00891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6065492/" TargetMode="External"/><Relationship Id="rId13" Type="http://schemas.openxmlformats.org/officeDocument/2006/relationships/hyperlink" Target="https://www.uptodate.com/contents/drug-allergy-pathogenesis?search=drug%20allergy&amp;source=search_result&amp;selectedTitle=3~150&amp;usage_type=default&amp;display_rank=3" TargetMode="External"/><Relationship Id="rId18" Type="http://schemas.openxmlformats.org/officeDocument/2006/relationships/hyperlink" Target="https://doi.org/10.3389/fphar.2020.5909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16/j.jaip.2017.08.027" TargetMode="External"/><Relationship Id="rId7" Type="http://schemas.openxmlformats.org/officeDocument/2006/relationships/hyperlink" Target="https://doi.org/10.1016/j.waojou.2020.100472" TargetMode="External"/><Relationship Id="rId12" Type="http://schemas.openxmlformats.org/officeDocument/2006/relationships/hyperlink" Target="https://doi.org/10.2217/pgs-2022-0078" TargetMode="External"/><Relationship Id="rId17" Type="http://schemas.openxmlformats.org/officeDocument/2006/relationships/hyperlink" Target="https://doi.org/10.1007/s00330-025-11675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11/cea.14235" TargetMode="External"/><Relationship Id="rId20" Type="http://schemas.openxmlformats.org/officeDocument/2006/relationships/hyperlink" Target="https://doi.org/10.2147/PGPM.S5275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4744/lhhs.2022.70004" TargetMode="External"/><Relationship Id="rId11" Type="http://schemas.openxmlformats.org/officeDocument/2006/relationships/hyperlink" Target="https://doi.org/10.1016/j.jaci.2022.08.028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1016/j.waojou.2025.1010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186/s13223-024-00936-1" TargetMode="External"/><Relationship Id="rId19" Type="http://schemas.openxmlformats.org/officeDocument/2006/relationships/hyperlink" Target="https://doi.org/10.1186/s13223-018-0289-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38/s41572-024-00514-0" TargetMode="External"/><Relationship Id="rId14" Type="http://schemas.openxmlformats.org/officeDocument/2006/relationships/hyperlink" Target="https://doi.org/10.1007/s40521-023-00351-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872</Words>
  <Characters>4954</Characters>
  <Application>Microsoft Office Word</Application>
  <DocSecurity>0</DocSecurity>
  <Lines>88</Lines>
  <Paragraphs>25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Chan</dc:creator>
  <cp:keywords/>
  <dc:description/>
  <cp:lastModifiedBy>Richard Chan</cp:lastModifiedBy>
  <cp:revision>2</cp:revision>
  <cp:lastPrinted>2025-11-14T08:25:00Z</cp:lastPrinted>
  <dcterms:created xsi:type="dcterms:W3CDTF">2025-11-14T05:25:00Z</dcterms:created>
  <dcterms:modified xsi:type="dcterms:W3CDTF">2025-11-14T08:33:00Z</dcterms:modified>
</cp:coreProperties>
</file>